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713E0" w14:textId="37CE7659" w:rsidR="00AD7FB4" w:rsidRPr="003D20FC" w:rsidRDefault="000D33C8" w:rsidP="000D33C8">
      <w:pPr>
        <w:rPr>
          <w:rFonts w:ascii="Arial" w:hAnsi="Arial" w:cs="Arial"/>
          <w:color w:val="AEAAAA" w:themeColor="background2" w:themeShade="BF"/>
        </w:rPr>
      </w:pPr>
      <w:r w:rsidRPr="003D20FC">
        <w:rPr>
          <w:rFonts w:ascii="Arial" w:hAnsi="Arial" w:cs="Arial"/>
          <w:color w:val="AEAAAA" w:themeColor="background2" w:themeShade="BF"/>
        </w:rPr>
        <w:t>Service Approval Number: SE-</w:t>
      </w:r>
      <w:r w:rsidR="004B4DA6">
        <w:rPr>
          <w:rFonts w:ascii="Arial" w:hAnsi="Arial" w:cs="Arial"/>
          <w:color w:val="AEAAAA" w:themeColor="background2" w:themeShade="BF"/>
        </w:rPr>
        <w:t>98765432</w:t>
      </w:r>
    </w:p>
    <w:p w14:paraId="627EB513" w14:textId="5E2CBFC9" w:rsidR="000D33C8" w:rsidRPr="003D20FC" w:rsidRDefault="000D33C8" w:rsidP="000D33C8">
      <w:pPr>
        <w:rPr>
          <w:rFonts w:ascii="Arial" w:hAnsi="Arial" w:cs="Arial"/>
          <w:color w:val="AEAAAA" w:themeColor="background2" w:themeShade="BF"/>
        </w:rPr>
      </w:pPr>
      <w:r w:rsidRPr="003D20FC">
        <w:rPr>
          <w:rFonts w:ascii="Arial" w:hAnsi="Arial" w:cs="Arial"/>
          <w:color w:val="AEAAAA" w:themeColor="background2" w:themeShade="BF"/>
        </w:rPr>
        <w:t xml:space="preserve">Assessment and Ratings ID: </w:t>
      </w:r>
      <w:r w:rsidR="004B4DA6">
        <w:rPr>
          <w:rFonts w:ascii="Arial" w:hAnsi="Arial" w:cs="Arial"/>
          <w:color w:val="AEAAAA" w:themeColor="background2" w:themeShade="BF"/>
        </w:rPr>
        <w:t>XXX-98765432</w:t>
      </w:r>
      <w:r w:rsidR="00152A1B">
        <w:rPr>
          <w:rFonts w:ascii="Arial" w:hAnsi="Arial" w:cs="Arial"/>
          <w:color w:val="AEAAAA" w:themeColor="background2" w:themeShade="BF"/>
        </w:rPr>
        <w:t xml:space="preserve"> (from the NSW Department of Education)</w:t>
      </w:r>
    </w:p>
    <w:p w14:paraId="4E9A0BA3" w14:textId="77777777" w:rsidR="00F46C72" w:rsidRPr="003D20FC" w:rsidRDefault="00F46C72">
      <w:pPr>
        <w:rPr>
          <w:rFonts w:ascii="Arial" w:hAnsi="Arial" w:cs="Arial"/>
        </w:rPr>
      </w:pPr>
    </w:p>
    <w:p w14:paraId="7E62026F" w14:textId="6018C936" w:rsidR="00AD7FB4" w:rsidRPr="003D20FC" w:rsidRDefault="007B3F6D" w:rsidP="0043523E">
      <w:pPr>
        <w:jc w:val="center"/>
        <w:rPr>
          <w:rFonts w:ascii="Arial" w:hAnsi="Arial" w:cs="Arial"/>
          <w:sz w:val="48"/>
          <w:szCs w:val="48"/>
        </w:rPr>
      </w:pPr>
      <w:r w:rsidRPr="003D20FC">
        <w:rPr>
          <w:rFonts w:ascii="Arial" w:hAnsi="Arial" w:cs="Arial"/>
          <w:sz w:val="44"/>
          <w:szCs w:val="44"/>
        </w:rPr>
        <w:t>Name of Service</w:t>
      </w:r>
      <w:r w:rsidR="002B765E">
        <w:rPr>
          <w:rFonts w:ascii="Arial" w:hAnsi="Arial" w:cs="Arial"/>
          <w:sz w:val="44"/>
          <w:szCs w:val="44"/>
        </w:rPr>
        <w:t xml:space="preserve"> &amp; </w:t>
      </w:r>
      <w:r w:rsidRPr="003D20FC">
        <w:rPr>
          <w:rFonts w:ascii="Arial" w:hAnsi="Arial" w:cs="Arial"/>
          <w:sz w:val="44"/>
          <w:szCs w:val="44"/>
        </w:rPr>
        <w:t>Location</w:t>
      </w:r>
    </w:p>
    <w:p w14:paraId="08DF65AD" w14:textId="2049697B" w:rsidR="00AD7FB4" w:rsidRPr="003D20FC" w:rsidRDefault="006D3FE1" w:rsidP="00435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has achieved the following ratings</w:t>
      </w:r>
      <w:r w:rsidR="00AD7FB4" w:rsidRPr="003D20FC">
        <w:rPr>
          <w:rFonts w:ascii="Arial" w:hAnsi="Arial" w:cs="Arial"/>
        </w:rPr>
        <w:t>:</w:t>
      </w:r>
    </w:p>
    <w:p w14:paraId="46C184E8" w14:textId="77777777" w:rsidR="00984DCD" w:rsidRPr="003D20FC" w:rsidRDefault="00984DCD" w:rsidP="0043523E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2" w:space="0" w:color="5B9BD5" w:themeColor="accent5"/>
          <w:left w:val="single" w:sz="2" w:space="0" w:color="5B9BD5" w:themeColor="accent5"/>
          <w:bottom w:val="single" w:sz="2" w:space="0" w:color="5B9BD5" w:themeColor="accent5"/>
          <w:right w:val="single" w:sz="2" w:space="0" w:color="5B9BD5" w:themeColor="accent5"/>
          <w:insideH w:val="single" w:sz="2" w:space="0" w:color="5B9BD5" w:themeColor="accent5"/>
          <w:insideV w:val="single" w:sz="2" w:space="0" w:color="5B9BD5" w:themeColor="accent5"/>
        </w:tblBorders>
        <w:tblLook w:val="04A0" w:firstRow="1" w:lastRow="0" w:firstColumn="1" w:lastColumn="0" w:noHBand="0" w:noVBand="1"/>
      </w:tblPr>
      <w:tblGrid>
        <w:gridCol w:w="2691"/>
        <w:gridCol w:w="6325"/>
      </w:tblGrid>
      <w:tr w:rsidR="00AD7FB4" w:rsidRPr="003D20FC" w14:paraId="6E2D9870" w14:textId="77777777" w:rsidTr="000B317B">
        <w:tc>
          <w:tcPr>
            <w:tcW w:w="2691" w:type="dxa"/>
            <w:shd w:val="clear" w:color="auto" w:fill="2AB10F"/>
            <w:vAlign w:val="center"/>
          </w:tcPr>
          <w:p w14:paraId="145DE0E7" w14:textId="371E1508" w:rsidR="00AD7FB4" w:rsidRPr="000B317B" w:rsidRDefault="00AD7FB4" w:rsidP="000B317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B317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Quality Area 1</w:t>
            </w:r>
          </w:p>
        </w:tc>
        <w:tc>
          <w:tcPr>
            <w:tcW w:w="6325" w:type="dxa"/>
          </w:tcPr>
          <w:p w14:paraId="78A1E8A8" w14:textId="77777777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>Educational program and practice</w:t>
            </w:r>
          </w:p>
          <w:p w14:paraId="7089B690" w14:textId="5B828DF1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 xml:space="preserve">RATING:  </w:t>
            </w:r>
            <w:r w:rsidRPr="003D20FC">
              <w:rPr>
                <w:rFonts w:ascii="Arial" w:hAnsi="Arial" w:cs="Arial"/>
                <w:b/>
                <w:bCs/>
                <w:sz w:val="24"/>
                <w:szCs w:val="24"/>
              </w:rPr>
              <w:t>Exceeding National Quality Standard (E)</w:t>
            </w:r>
          </w:p>
        </w:tc>
      </w:tr>
      <w:tr w:rsidR="00AD7FB4" w:rsidRPr="003D20FC" w14:paraId="75E11B60" w14:textId="77777777" w:rsidTr="000B317B">
        <w:tc>
          <w:tcPr>
            <w:tcW w:w="2691" w:type="dxa"/>
            <w:shd w:val="clear" w:color="auto" w:fill="FBEA11"/>
            <w:vAlign w:val="center"/>
          </w:tcPr>
          <w:p w14:paraId="663DF0B4" w14:textId="6BF7A745" w:rsidR="00AD7FB4" w:rsidRPr="000B317B" w:rsidRDefault="00AD7FB4" w:rsidP="000B317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B317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Quality Area 2</w:t>
            </w:r>
          </w:p>
        </w:tc>
        <w:tc>
          <w:tcPr>
            <w:tcW w:w="6325" w:type="dxa"/>
          </w:tcPr>
          <w:p w14:paraId="1D093E2A" w14:textId="77777777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>Children’s health and safety</w:t>
            </w:r>
          </w:p>
          <w:p w14:paraId="71481882" w14:textId="06A29273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 xml:space="preserve">RATING:  </w:t>
            </w:r>
            <w:r w:rsidRPr="003D20FC">
              <w:rPr>
                <w:rFonts w:ascii="Arial" w:hAnsi="Arial" w:cs="Arial"/>
                <w:b/>
                <w:bCs/>
                <w:sz w:val="24"/>
                <w:szCs w:val="24"/>
              </w:rPr>
              <w:t>Exceeding National Quality Standard (E)</w:t>
            </w:r>
          </w:p>
        </w:tc>
      </w:tr>
      <w:tr w:rsidR="00AD7FB4" w:rsidRPr="003D20FC" w14:paraId="594A4F50" w14:textId="77777777" w:rsidTr="000B317B">
        <w:tc>
          <w:tcPr>
            <w:tcW w:w="2691" w:type="dxa"/>
            <w:shd w:val="clear" w:color="auto" w:fill="E0A8D7"/>
            <w:vAlign w:val="center"/>
          </w:tcPr>
          <w:p w14:paraId="57E41E4C" w14:textId="16D8F8D5" w:rsidR="00AD7FB4" w:rsidRPr="000B317B" w:rsidRDefault="00AD7FB4" w:rsidP="000B317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B317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Quality Area </w:t>
            </w:r>
            <w:r w:rsidRPr="000B317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E0A8D7"/>
              </w:rPr>
              <w:t>3</w:t>
            </w:r>
          </w:p>
        </w:tc>
        <w:tc>
          <w:tcPr>
            <w:tcW w:w="6325" w:type="dxa"/>
          </w:tcPr>
          <w:p w14:paraId="1007427A" w14:textId="77777777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>Physical environment</w:t>
            </w:r>
          </w:p>
          <w:p w14:paraId="656B1D27" w14:textId="018E0862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 xml:space="preserve">RATING:  </w:t>
            </w:r>
            <w:r w:rsidRPr="003D20FC">
              <w:rPr>
                <w:rFonts w:ascii="Arial" w:hAnsi="Arial" w:cs="Arial"/>
                <w:b/>
                <w:bCs/>
                <w:sz w:val="24"/>
                <w:szCs w:val="24"/>
              </w:rPr>
              <w:t>Exceeding National Quality Standard (E)</w:t>
            </w:r>
          </w:p>
        </w:tc>
      </w:tr>
      <w:tr w:rsidR="00AD7FB4" w:rsidRPr="003D20FC" w14:paraId="4B28D997" w14:textId="77777777" w:rsidTr="000B317B">
        <w:tc>
          <w:tcPr>
            <w:tcW w:w="2691" w:type="dxa"/>
            <w:shd w:val="clear" w:color="auto" w:fill="92D050"/>
            <w:vAlign w:val="center"/>
          </w:tcPr>
          <w:p w14:paraId="12D18A5B" w14:textId="1CCEB31C" w:rsidR="00AD7FB4" w:rsidRPr="000B317B" w:rsidRDefault="00AD7FB4" w:rsidP="000B317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B317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Quality Area 4</w:t>
            </w:r>
          </w:p>
        </w:tc>
        <w:tc>
          <w:tcPr>
            <w:tcW w:w="6325" w:type="dxa"/>
          </w:tcPr>
          <w:p w14:paraId="102CBAEF" w14:textId="77777777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>Staffing arrangements</w:t>
            </w:r>
          </w:p>
          <w:p w14:paraId="0BB573D1" w14:textId="1F0C2656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 xml:space="preserve">RATING:  </w:t>
            </w:r>
            <w:r w:rsidRPr="003D20FC">
              <w:rPr>
                <w:rFonts w:ascii="Arial" w:hAnsi="Arial" w:cs="Arial"/>
                <w:b/>
                <w:bCs/>
                <w:sz w:val="24"/>
                <w:szCs w:val="24"/>
              </w:rPr>
              <w:t>Exceeding National Quality Standard (E)</w:t>
            </w:r>
          </w:p>
        </w:tc>
      </w:tr>
      <w:tr w:rsidR="00AD7FB4" w:rsidRPr="003D20FC" w14:paraId="3F05D560" w14:textId="77777777" w:rsidTr="000B317B">
        <w:tc>
          <w:tcPr>
            <w:tcW w:w="2691" w:type="dxa"/>
            <w:shd w:val="clear" w:color="auto" w:fill="FFC000"/>
            <w:vAlign w:val="center"/>
          </w:tcPr>
          <w:p w14:paraId="79304653" w14:textId="40BA07B2" w:rsidR="00AD7FB4" w:rsidRPr="000B317B" w:rsidRDefault="00AD7FB4" w:rsidP="000B317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B317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Quality Area 5</w:t>
            </w:r>
          </w:p>
        </w:tc>
        <w:tc>
          <w:tcPr>
            <w:tcW w:w="6325" w:type="dxa"/>
          </w:tcPr>
          <w:p w14:paraId="76186CEE" w14:textId="77777777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 xml:space="preserve">Relationships with children </w:t>
            </w:r>
          </w:p>
          <w:p w14:paraId="4C06E180" w14:textId="2217DE80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 xml:space="preserve">RATING:  </w:t>
            </w:r>
            <w:r w:rsidRPr="003D20FC">
              <w:rPr>
                <w:rFonts w:ascii="Arial" w:hAnsi="Arial" w:cs="Arial"/>
                <w:b/>
                <w:bCs/>
                <w:sz w:val="24"/>
                <w:szCs w:val="24"/>
              </w:rPr>
              <w:t>Exceeding National Quality Standard (E)</w:t>
            </w:r>
          </w:p>
        </w:tc>
      </w:tr>
      <w:tr w:rsidR="00AD7FB4" w:rsidRPr="003D20FC" w14:paraId="0FF619B2" w14:textId="77777777" w:rsidTr="000B317B">
        <w:tc>
          <w:tcPr>
            <w:tcW w:w="2691" w:type="dxa"/>
            <w:shd w:val="clear" w:color="auto" w:fill="EB15BD"/>
            <w:vAlign w:val="center"/>
          </w:tcPr>
          <w:p w14:paraId="5DD7909A" w14:textId="3BC61F4A" w:rsidR="00AD7FB4" w:rsidRPr="000B317B" w:rsidRDefault="00AD7FB4" w:rsidP="000B317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B317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Quality Area 6</w:t>
            </w:r>
          </w:p>
        </w:tc>
        <w:tc>
          <w:tcPr>
            <w:tcW w:w="6325" w:type="dxa"/>
          </w:tcPr>
          <w:p w14:paraId="36C4D403" w14:textId="77777777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>Collaborative partnerships with families and communities</w:t>
            </w:r>
          </w:p>
          <w:p w14:paraId="31D33DC9" w14:textId="38063A9A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 xml:space="preserve">RATING:  </w:t>
            </w:r>
            <w:r w:rsidRPr="003D20FC">
              <w:rPr>
                <w:rFonts w:ascii="Arial" w:hAnsi="Arial" w:cs="Arial"/>
                <w:b/>
                <w:bCs/>
                <w:sz w:val="24"/>
                <w:szCs w:val="24"/>
              </w:rPr>
              <w:t>Exceeding National Quality Standard (E)</w:t>
            </w:r>
          </w:p>
        </w:tc>
      </w:tr>
      <w:tr w:rsidR="00AD7FB4" w:rsidRPr="003D20FC" w14:paraId="41459ECC" w14:textId="77777777" w:rsidTr="000B317B">
        <w:tc>
          <w:tcPr>
            <w:tcW w:w="2691" w:type="dxa"/>
            <w:shd w:val="clear" w:color="auto" w:fill="00B0F0"/>
            <w:vAlign w:val="center"/>
          </w:tcPr>
          <w:p w14:paraId="6F4474B0" w14:textId="3AAB3BBD" w:rsidR="00AD7FB4" w:rsidRPr="000B317B" w:rsidRDefault="00AD7FB4" w:rsidP="000B317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B317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Quality Area 7</w:t>
            </w:r>
          </w:p>
        </w:tc>
        <w:tc>
          <w:tcPr>
            <w:tcW w:w="6325" w:type="dxa"/>
          </w:tcPr>
          <w:p w14:paraId="26248A53" w14:textId="77777777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>Governance and Leadership</w:t>
            </w:r>
          </w:p>
          <w:p w14:paraId="303D7887" w14:textId="62DB63D3" w:rsidR="00AD7FB4" w:rsidRPr="003D20FC" w:rsidRDefault="00AD7FB4" w:rsidP="0043523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D20FC">
              <w:rPr>
                <w:rFonts w:ascii="Arial" w:hAnsi="Arial" w:cs="Arial"/>
                <w:sz w:val="24"/>
                <w:szCs w:val="24"/>
              </w:rPr>
              <w:t xml:space="preserve">RATING:  </w:t>
            </w:r>
            <w:r w:rsidRPr="003D20FC">
              <w:rPr>
                <w:rFonts w:ascii="Arial" w:hAnsi="Arial" w:cs="Arial"/>
                <w:b/>
                <w:bCs/>
                <w:sz w:val="24"/>
                <w:szCs w:val="24"/>
              </w:rPr>
              <w:t>Exceeding National Quality Standard (E)</w:t>
            </w:r>
          </w:p>
        </w:tc>
      </w:tr>
    </w:tbl>
    <w:p w14:paraId="5486F056" w14:textId="0914A0F6" w:rsidR="00AD7FB4" w:rsidRPr="004445BA" w:rsidRDefault="00AD7FB4">
      <w:pPr>
        <w:rPr>
          <w:rFonts w:ascii="Arial" w:hAnsi="Arial" w:cs="Arial"/>
          <w:sz w:val="20"/>
          <w:szCs w:val="20"/>
        </w:rPr>
      </w:pPr>
    </w:p>
    <w:p w14:paraId="776FA753" w14:textId="21C56BF8" w:rsidR="00984DCD" w:rsidRPr="004445BA" w:rsidRDefault="001F60F2">
      <w:pPr>
        <w:rPr>
          <w:rFonts w:ascii="Arial" w:hAnsi="Arial" w:cs="Arial"/>
          <w:sz w:val="20"/>
          <w:szCs w:val="20"/>
        </w:rPr>
      </w:pPr>
      <w:r w:rsidRPr="004445BA">
        <w:rPr>
          <w:rFonts w:ascii="Arial" w:hAnsi="Arial" w:cs="Arial"/>
          <w:sz w:val="20"/>
          <w:szCs w:val="20"/>
        </w:rPr>
        <w:t xml:space="preserve">The overall rating for a service </w:t>
      </w:r>
      <w:r w:rsidR="006905B7" w:rsidRPr="004445BA">
        <w:rPr>
          <w:rFonts w:ascii="Arial" w:hAnsi="Arial" w:cs="Arial"/>
          <w:sz w:val="20"/>
          <w:szCs w:val="20"/>
        </w:rPr>
        <w:t>is determined by the combination of the Quality Area ratings achieved.</w:t>
      </w:r>
    </w:p>
    <w:p w14:paraId="2DCBD765" w14:textId="7B5961F0" w:rsidR="003A5638" w:rsidRPr="004445BA" w:rsidRDefault="003A5638" w:rsidP="003A5638">
      <w:pPr>
        <w:rPr>
          <w:rFonts w:ascii="Arial" w:hAnsi="Arial" w:cs="Arial"/>
          <w:sz w:val="20"/>
          <w:szCs w:val="20"/>
        </w:rPr>
      </w:pPr>
      <w:r w:rsidRPr="004445BA">
        <w:rPr>
          <w:rFonts w:ascii="Arial" w:hAnsi="Arial" w:cs="Arial"/>
          <w:sz w:val="20"/>
          <w:szCs w:val="20"/>
        </w:rPr>
        <w:t>If a service is rated below the National Quality Standard in any Quality Area, the overall rating will reflect the lowest</w:t>
      </w:r>
      <w:r w:rsidRPr="004445BA">
        <w:rPr>
          <w:rFonts w:ascii="Arial" w:hAnsi="Arial" w:cs="Arial"/>
          <w:sz w:val="20"/>
          <w:szCs w:val="20"/>
        </w:rPr>
        <w:t xml:space="preserve"> </w:t>
      </w:r>
      <w:r w:rsidRPr="004445BA">
        <w:rPr>
          <w:rFonts w:ascii="Arial" w:hAnsi="Arial" w:cs="Arial"/>
          <w:sz w:val="20"/>
          <w:szCs w:val="20"/>
        </w:rPr>
        <w:t>Quality Area rating. To achieve an overall rating of Exceeding National Quality Standard, a service needs to achieve</w:t>
      </w:r>
      <w:r w:rsidRPr="004445BA">
        <w:rPr>
          <w:rFonts w:ascii="Arial" w:hAnsi="Arial" w:cs="Arial"/>
          <w:sz w:val="20"/>
          <w:szCs w:val="20"/>
        </w:rPr>
        <w:t xml:space="preserve"> </w:t>
      </w:r>
      <w:r w:rsidRPr="004445BA">
        <w:rPr>
          <w:rFonts w:ascii="Arial" w:hAnsi="Arial" w:cs="Arial"/>
          <w:sz w:val="20"/>
          <w:szCs w:val="20"/>
        </w:rPr>
        <w:t>Exceeding National Quality Standard in four or more Quality Areas of which two must be from Quality Area 1, Quality</w:t>
      </w:r>
      <w:r w:rsidRPr="004445BA">
        <w:rPr>
          <w:rFonts w:ascii="Arial" w:hAnsi="Arial" w:cs="Arial"/>
          <w:sz w:val="20"/>
          <w:szCs w:val="20"/>
        </w:rPr>
        <w:t xml:space="preserve"> </w:t>
      </w:r>
      <w:r w:rsidRPr="004445BA">
        <w:rPr>
          <w:rFonts w:ascii="Arial" w:hAnsi="Arial" w:cs="Arial"/>
          <w:sz w:val="20"/>
          <w:szCs w:val="20"/>
        </w:rPr>
        <w:t>Area 5, Quality Area 6 or Quality Area 7.</w:t>
      </w:r>
    </w:p>
    <w:p w14:paraId="2F0F25DB" w14:textId="77777777" w:rsidR="006D3FE1" w:rsidRPr="004445BA" w:rsidRDefault="006D3FE1" w:rsidP="003A5638">
      <w:pPr>
        <w:rPr>
          <w:rFonts w:ascii="Arial" w:hAnsi="Arial" w:cs="Arial"/>
          <w:sz w:val="20"/>
          <w:szCs w:val="20"/>
        </w:rPr>
      </w:pPr>
    </w:p>
    <w:p w14:paraId="4FB84BEC" w14:textId="4B909314" w:rsidR="0043523E" w:rsidRPr="003D20FC" w:rsidRDefault="0043523E" w:rsidP="0043523E">
      <w:pPr>
        <w:jc w:val="center"/>
        <w:rPr>
          <w:rFonts w:ascii="Arial" w:hAnsi="Arial" w:cs="Arial"/>
          <w:sz w:val="28"/>
          <w:szCs w:val="28"/>
        </w:rPr>
      </w:pPr>
      <w:r w:rsidRPr="003D20FC">
        <w:rPr>
          <w:rFonts w:ascii="Arial" w:hAnsi="Arial" w:cs="Arial"/>
          <w:sz w:val="28"/>
          <w:szCs w:val="28"/>
        </w:rPr>
        <w:t>This service is rated overall at</w:t>
      </w:r>
    </w:p>
    <w:p w14:paraId="04673E29" w14:textId="32CC2DBA" w:rsidR="0043523E" w:rsidRPr="003D20FC" w:rsidRDefault="0043523E" w:rsidP="0043523E">
      <w:pPr>
        <w:jc w:val="center"/>
        <w:rPr>
          <w:rFonts w:ascii="Arial" w:hAnsi="Arial" w:cs="Arial"/>
          <w:b/>
          <w:sz w:val="28"/>
          <w:szCs w:val="28"/>
        </w:rPr>
      </w:pPr>
      <w:r w:rsidRPr="003D20FC">
        <w:rPr>
          <w:rFonts w:ascii="Arial" w:hAnsi="Arial" w:cs="Arial"/>
          <w:b/>
          <w:sz w:val="28"/>
          <w:szCs w:val="28"/>
        </w:rPr>
        <w:t>Exceeding National Quality Standard (E)</w:t>
      </w:r>
    </w:p>
    <w:p w14:paraId="492810E9" w14:textId="7FD62E7D" w:rsidR="006D3FE1" w:rsidRDefault="006D3FE1" w:rsidP="006D3FE1">
      <w:pPr>
        <w:rPr>
          <w:rFonts w:ascii="Arial" w:hAnsi="Arial" w:cs="Arial"/>
          <w:sz w:val="20"/>
          <w:szCs w:val="20"/>
        </w:rPr>
      </w:pPr>
      <w:r w:rsidRPr="006D3FE1">
        <w:rPr>
          <w:rFonts w:ascii="Arial" w:hAnsi="Arial" w:cs="Arial"/>
          <w:sz w:val="20"/>
          <w:szCs w:val="20"/>
        </w:rPr>
        <w:t>Date of issue: DD MMM YYYY</w:t>
      </w:r>
    </w:p>
    <w:p w14:paraId="7F7C3869" w14:textId="5EBEABD1" w:rsidR="00984DCD" w:rsidRPr="003D20FC" w:rsidRDefault="00984DCD" w:rsidP="0043523E">
      <w:pPr>
        <w:jc w:val="center"/>
        <w:rPr>
          <w:rFonts w:ascii="Arial" w:hAnsi="Arial" w:cs="Arial"/>
          <w:sz w:val="16"/>
          <w:szCs w:val="16"/>
        </w:rPr>
      </w:pPr>
      <w:r w:rsidRPr="003D20FC">
        <w:rPr>
          <w:rFonts w:ascii="Arial" w:hAnsi="Arial" w:cs="Arial"/>
          <w:sz w:val="16"/>
          <w:szCs w:val="16"/>
        </w:rPr>
        <w:t xml:space="preserve">This service has been assessed against the </w:t>
      </w:r>
      <w:r w:rsidRPr="003D20FC">
        <w:rPr>
          <w:rFonts w:ascii="Arial" w:hAnsi="Arial" w:cs="Arial"/>
          <w:i/>
          <w:iCs/>
          <w:sz w:val="16"/>
          <w:szCs w:val="16"/>
        </w:rPr>
        <w:t xml:space="preserve">National Quality Standard for Early Childhood Education and Care and School Age Care </w:t>
      </w:r>
      <w:r w:rsidRPr="003D20FC">
        <w:rPr>
          <w:rFonts w:ascii="Arial" w:hAnsi="Arial" w:cs="Arial"/>
          <w:sz w:val="16"/>
          <w:szCs w:val="16"/>
        </w:rPr>
        <w:t xml:space="preserve">and these ratings have been awarded in accordance with the </w:t>
      </w:r>
      <w:r w:rsidRPr="003D20FC">
        <w:rPr>
          <w:rFonts w:ascii="Arial" w:hAnsi="Arial" w:cs="Arial"/>
          <w:i/>
          <w:iCs/>
          <w:sz w:val="16"/>
          <w:szCs w:val="16"/>
        </w:rPr>
        <w:t>Education and Care Services National Law Act 2010</w:t>
      </w:r>
      <w:r w:rsidRPr="003D20FC">
        <w:rPr>
          <w:rFonts w:ascii="Arial" w:hAnsi="Arial" w:cs="Arial"/>
          <w:sz w:val="16"/>
          <w:szCs w:val="16"/>
        </w:rPr>
        <w:t xml:space="preserve"> and the </w:t>
      </w:r>
      <w:r w:rsidRPr="003D20FC">
        <w:rPr>
          <w:rFonts w:ascii="Arial" w:hAnsi="Arial" w:cs="Arial"/>
          <w:i/>
          <w:iCs/>
          <w:sz w:val="16"/>
          <w:szCs w:val="16"/>
        </w:rPr>
        <w:t>Education and Care Services National Regulations 2011</w:t>
      </w:r>
      <w:r w:rsidRPr="003D20FC">
        <w:rPr>
          <w:rFonts w:ascii="Arial" w:hAnsi="Arial" w:cs="Arial"/>
          <w:sz w:val="16"/>
          <w:szCs w:val="16"/>
        </w:rPr>
        <w:t xml:space="preserve">. </w:t>
      </w:r>
    </w:p>
    <w:sectPr w:rsidR="00984DCD" w:rsidRPr="003D20FC" w:rsidSect="00F46C72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B4"/>
    <w:rsid w:val="000B317B"/>
    <w:rsid w:val="000D33C8"/>
    <w:rsid w:val="00147F28"/>
    <w:rsid w:val="00152A1B"/>
    <w:rsid w:val="001F60F2"/>
    <w:rsid w:val="002B765E"/>
    <w:rsid w:val="003A5638"/>
    <w:rsid w:val="003D20FC"/>
    <w:rsid w:val="0043523E"/>
    <w:rsid w:val="004445BA"/>
    <w:rsid w:val="00491C19"/>
    <w:rsid w:val="004B4DA6"/>
    <w:rsid w:val="004B5095"/>
    <w:rsid w:val="005C0F72"/>
    <w:rsid w:val="006905B7"/>
    <w:rsid w:val="006D3FE1"/>
    <w:rsid w:val="007B3F6D"/>
    <w:rsid w:val="00984DCD"/>
    <w:rsid w:val="009949CA"/>
    <w:rsid w:val="00A95B42"/>
    <w:rsid w:val="00AD7FB4"/>
    <w:rsid w:val="00AE2CD5"/>
    <w:rsid w:val="00C93D7A"/>
    <w:rsid w:val="00EC6B98"/>
    <w:rsid w:val="00F46C72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A560"/>
  <w15:chartTrackingRefBased/>
  <w15:docId w15:val="{C8B11511-D27C-41A0-B9F1-1E763059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Chiang Lim</dc:creator>
  <cp:keywords/>
  <dc:description/>
  <cp:lastModifiedBy>Chiang Lim</cp:lastModifiedBy>
  <cp:revision>14</cp:revision>
  <dcterms:created xsi:type="dcterms:W3CDTF">2020-06-30T03:58:00Z</dcterms:created>
  <dcterms:modified xsi:type="dcterms:W3CDTF">2020-07-01T00:55:00Z</dcterms:modified>
</cp:coreProperties>
</file>